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ZAMORA ESTRADA, HECTOR ALEJANDRO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5068020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ENCINO 317A FRACC. CIRCUNVALACION NORTE,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ZAEH720204PZ8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ZAEH720204HASMSC09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07 de Septiembre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21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24  de  Septiembre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ZAMORA ESTRADA, HECTOR ALEJANDRO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CAMPO FINANZAS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PROYECCIÓN Y ESTRATEGIAS FINANCIERAS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$460.00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2024-09-28 - 2024-10-12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