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VARGAS SANTANA, CINTHIA RUBI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11314858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BOLIVIA 303 SN JOSE BUENAVISTA CP. 20300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VASC950330UF2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VASC950330MJCRNN04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VARGAS SANTANA, CINTHIA RUBI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LVZ0208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COMPARADA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LVZ0208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LVZ0208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LVZ0208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COMPARADA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LVZ0208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LVZ0208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COMPARADA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LVZ0208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LVZ0208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COMPARADA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LVZ0208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LVZ0208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LVZ0208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COMPARADA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2025-01-02 - 2025-01-15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LVZ0208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