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TORAYA PEDROZA, ROUSSELL LI-ERTH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VILLA DE BARI #135, FRACC. VILLAS DEL MEDITERRÁNEO, AGUASCALIENES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TOPR780314TY2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TOPR780314HDFRDS02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TORAYA PEDROZA, ROUSSELL LI-ERTH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- 2019 - EMPRESARIAL - CUATRIMESTRAL - 2737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2023-10-28 - 2023-12-09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CAMPO FINANZAS - 2018 - ESCOLARIZADA - CUATRIMESTRAL - 2730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GLOBALIZACIÓN DE MERCADOS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2023-09-09 - 2023-09-23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CAMPO FINANZAS - 2018 - ESCOLARIZADA - CUATRIMESTRAL - 2730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GLOBALIZACIÓN DE MERCADOS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2023-09-30 - 2023-09-30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2023-10-28 - 2023-12-09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