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SANTANA, MARLEM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11731599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#18, CENTRO, PABELLON DE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SOSM890428GA2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SOSM890428MASLNR03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SANTANA, MARLEM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