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SANTILLAN JACOBO, MARCELA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39414991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 LA CAMPANA 204 24C. LAS PLAZAS, CP.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SAJM780508NZ9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SAJM780508MASNCR08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SANTILLAN JACOBO, MARCELA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MEDICINA VETERINARIA Y ZOOTECNIA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MEDICINA VETERINARIA Y ZOOTECNIA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MEDICINA VETERINARIA Y ZOOTECNIA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MEDICINA VETERINARIA Y ZOOTECNIA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MEDICINA VETERINARIA Y ZOOTECNIA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MEDICINA VETERINARIA Y ZOOTECNIA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MEDICINA VETERINARIA Y ZOOTECNIA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MEDICINA VETERINARIA Y ZOOTECNIA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