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SALAS ROJAS,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9966734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ANDADOR 3 3235, BATALLON DE S PATRICIO.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SARF690730L41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SARF690730HJCLJR01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SALAS ROJAS,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2025-01-17 - 2025-02-01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2025-01-17 - 2025-02-01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COMPORTAMIENTO, DESARROLLO Y CAMBIO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2025-02-08 - 2025-02-22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