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TREJO,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11999108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3A CDA MURALISMO 118-7 FRACC. ALAMEDA,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RUTO810825582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RUTO810825HASZRM08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TREJO,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CIVÍCA Y VALORAL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