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RUELAS OLVERA, ENGELS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8289465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ARBOLEDA 202 PASEO DEL ARROYO CAMPESTRE CLUB DE GOLF,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RUOE6804243U7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RUOE680424HASLLN03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RUELAS OLVERA, ENGELS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CONTRIBUCIONES ESTATALES Y MUNICIPALES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CONTRIBUCIONES ESTATALES Y MUNICIPALES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2025-02-28 - 2025-03-21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 Y AMPARO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AMPARO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$594.00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2025-04-05 - 2025-05-03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