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ROSALES MARTINEZ, GUILIO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11856160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CERRO DEL PINAL 111, CERRO ALT, CP. 20179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ROMG961109N90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ROMG961109HDFSRL04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15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ROSALES MARTINEZ, GUILIO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ENTORNO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ENTORNO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ENTORNO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PROYECCIÓN DE DISEÑO DE MODAS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INTRODUCCIÓN A LAS CIENCIAS SOCIALES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ESTRUCTURA SOCIOECONÓMICA DE MÉXICO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10:00:00 - 11:00:00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METODOLOGÍA DE LA INVESTIGACIÓN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ENTORNO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ENTORNO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ENTORNO Y SOCIEDAD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