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SÁNCHEZ, BIANCA ODETTE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130, STACIA, CP. 20907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ROSB970802PP3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ROSB970802MASMNN08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SÁNCHEZ, BIANCA ODETTE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