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RIVAS LOPEZ, NICOLED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DE SANFRANCISCO 241, VILLERIASCP. 20196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RILN001012LY5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RILN001012MMCVPCA7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RIVAS LOPEZ, NICOLED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FOROGRAFÍA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