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RANGEL GALVAN, GEORGINA YARETZY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ODONTOLOGÍA,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10733369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ORO #123 FRACC. FUNDICIÓN , AGS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RAGG901006KL0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RAGG901006MASNLR05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16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RANGEL GALVAN, GEORGINA YARETZY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TITULAR ESPECIALIDAD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Y ORTOPEDIA MAXILAR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ORTODONCIA INTERDISCIPLINARIA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TITULAR ESPECIALIDAD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CLÍNICA DE ENDODONCIA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TITULAR ESPECIALIDAD ENDODONCIA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$422.00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