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SANCHEZ,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7096046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GUARDA 106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RASE850130H22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RASE850130HASMNM06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SANCHEZ,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DECISIÓN.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DECISIÓN.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