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RAMIREZ, OCTAVIO.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RAMIREZ, OCTAVIO.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1961-12-02</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RARO611202HASMMC00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RARO611202SYA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TEPATITLAN 332, CANTERAS DE SAN JOSÉ,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3610@ucuauhtemoc.edu.mx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SUSTENTABILIDAD ECOLÓGICA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DISEÑO ESPACIO-AMBIENTES CON CRITERIOS DE SUSTENTABILIDAD ECOLÓGICA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SUSTENTABILIDAD ECOLÓGICA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DISEÑO ESPACIO-AMBIENTES CON CRITERIOS DE SUSTENTABILIDAD ECOLÓGICA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LEGISLACIÓN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2022-05-19 - 2022-05-19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MATERIALES SOSTENIBLES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15:00:00 - 22:00:00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2022-07-01 - 2022-07-01</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TALLER DE DISEÑOS DE ESPACIOS URBANOS ECOLÓGICOS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2022-07-09 - 2022-07-29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PAISAJISMO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2022-06-10 - 2022-06-24</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TALLER DE DISEÑOS DE ESPACIOS URBANOS ECOLÓGICOS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2022-07-09 - 2022-07-29</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PAISAJISMO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2022-06-10 - 2022-06-24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