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RAMIREZ ORTEGA, JOSE LUIS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POSGRADOS E INVESTIGACIÓN,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11202129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ALBINO GARCIA 734,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POR DEFINIR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RAOL680730G90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RAOL680730HASMRS07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08 de Enero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26 de Abril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03  de  Junio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RAMIREZ ORTEGA, JOSE LUIS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DE HOSPITALES Y SERVICIOS DE SALUD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ANÁLISIS ECONÓMICO PARA LA TOMA DE DECISIONES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08:00:00 - 16:00:00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$441.00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2024-2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2024-03-02 - 2024-03-23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