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DELGADO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4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FEMAT 804 LA ESCONDIA SAN FRANCISCO DE 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DA950318K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DA950318HASN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DELGADO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