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PIRELA SANCHEZ, GABRIELA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LAS GRANADAS 219, PORTA REAL,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PISG660404TI8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PISG660404MNERNB04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PIRELA SANCHEZ, GABRIELA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DIP2025-30 NEUROCIENCIAS EN 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LAS NEUROCIENCIAS EN 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DIP2025-30 NEUROCIENCIAS EN 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INCLUSIÓN ESCOLAR Y LA NEURO/EVALUACIÓN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2025-06-28 - 2025-07-05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