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GONZALEZ, AGUSTIN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8892742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AGRICULTORES 113 FRACC. VALLE DEL CAMPESTRE,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Q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PAGA790124PA2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PAGA790124HJCDNG08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GONZALEZ, AGUSTIN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DIRECCIÓN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DIRECCIÓN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2024-11-07 - 2024-11-29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