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PADILLA CRUZ, RAUL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PADILLA CRUZ, RAUL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MKEXICANO.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1986-04-20</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PACR860420HASDRL06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PACR8604207Y7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EMPERADOR ·101 FRACCIONAMIENTO PARRAS,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3230@ucuauhtemoc.edu.mx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PLANEACIÓN ESTRATÉGICA DE MERCADOTECNIA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PROYECTO PROFESIONAL APLICADO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TENDENCIA DEL DISEÑO DE INTERIORES III: BARROCO Y NEOCLÁSICO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PROYECTO DE INSTALACIONES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MEZCLA PROMOCIONAL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PLANEACIÓN ESTRATÉGICA DE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TENDENCIA DEL DISEÑO DE INTERIORES III: BARROCO Y NEOCLÁSICO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PROYECTO DE INSTALACIONES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MEZCLA PROMOCIONAL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PROYECTO PROFESIONAL APLICADO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HABITACIONAL</w:t>
            </w:r>
          </w:p>
        </w:tc>
        <w:tc>
          <w:tcPr>
            <w:tcW w:w="1" w:type="dxa"/>
          </w:tcPr>
          <w:p>
            <w:pPr>
              <w:jc w:val="left"/>
            </w:pPr>
            <w:r>
              <w:rPr>
                <w:rFonts w:ascii="Arial" w:hAnsi="Arial" w:eastAsia="Arial" w:cs="Arial"/>
                <w:sz w:val="16"/>
                <w:szCs w:val="16"/>
                <w:b w:val="0"/>
                <w:bCs w:val="0"/>
              </w:rPr>
              <w:t xml:space="preserve">URBANISMO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