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 Y 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ADMINISTRACIÓN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