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TRANCOSO,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MENSUAL,SEMESTRAL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12747560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BAYANO INT.13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OETJ7807194T3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OETJ780719HASRRN06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TRANCOSO,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DIP2024-16 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2024-02-28 - 2024-02-28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 Y POLÍTICA EDUCATIVA CONTEXTUALIZADA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DIP2024-16 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DIP2024-16 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DIDÁCTICA: UN INSTRUMENTO EFECTIVO PARA CONSTRUIR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