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NUÑEZ MEDINA, ALICIA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5068061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CAMINO DE SANTIAGO 115, FRACC. LA RIOJA,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NUMA740125QI4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NUMA740125MASXDL06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NUÑEZ MEDINA, ALICIA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GOBIERNO Y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2025-05-03 - 2025-05-24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 AMPARO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2025-01-31 - 2025-02-21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GOBIERNO Y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2025-05-03 - 2025-05-24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 AMPARO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2025-01-31 - 2025-02-21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