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PAVON, ROSARIO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SEMESTRAL,MENSUAL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5068095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BONATERRA 537 (ANTES 617). FRACC. VILLAS BONATERRA. COTO 1. AL INTERIOR DEL COTO ESQ,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MUPR700305RX8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MUPR700305MDFXVS03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PAVON, ROSARIO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	METODOLOGÍA DE LA INVESTIGACIÓN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$479.00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2024-11-01 - 2024-11-22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DIP2024-42 COMPLIANCE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EXPOSICIONES MAGISTRALES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2024-09-07 - 2024-09-07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	METODOLOGÍA DE LA INVESTIGACIÓN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$479.00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2024-11-01 - 2024-11-22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