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PAVON,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BONATERRA 537 (ANTES 617). FRACC. VILLAS BONATERRA. COTO 1. AL INTERIOR DEL COTO ESQ,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MUPR700305RX8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MUPR700305MDFXVS03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PAVON,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EN MATERIA ADMINISTRATIVA Y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EN MATERIA ADMINISTRATIVA Y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