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MEDRANO ESCOBEDO, ELISE ANAIS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12003979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168 B BARRIO DE LA SALUD,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MEEE910208T75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MEEE910208MASDSL05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MEDRANO ESCOBEDO, ELISE ANAIS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ECONÓMICO Y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