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LUNA DIAZ DE LEON, CARLOS EDUARDO.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LUNA DIAZ DE LEON, CARLOS EDUARDO.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1987-07-21</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LUDC870721HASNZR05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LUDC870721EQ0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CAM A SAN IGNACION 202 A, FRACC. COLINAS DEL RIO, AGUSCALIENTES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4835@ucuauhtemoc.edu.mx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PRÁCTICA DE AUDITORIA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2022-05-14 - 2022-06-04</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PRÁCTICA DE AUDITORIA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2022-06-11 - 2022-06-11</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PROCEDIMIENTOS Y ELEMENTOS DE AUDITORIA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PROCEDIMIENTOS Y ELEMENTOS DE AUDITORIA</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