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TORRES,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13817304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VILLA PLATA 613 INT. 56 ALCAZAR RESIDENCIAL,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LOTA850907V80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LOTA850907HASPRL03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TORRES,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 Y GOBIERNO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 Y GOBIERNO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$260.70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$289.30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$289.30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DIP2025-29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ALTA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