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TORRES,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13817304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VILLA PLATA 613 INT. 56 ALCAZAR RESIDENCIAL,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LOTA850907V80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LOTA850907HASPRL03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TORRES,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DE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B2B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DE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ESTRATEGÍAS DE MARKETING DIGITAL Y REDES SOCIALES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2024-03-20 - 2024-04-10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COMPORTAMIENTO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DE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B2B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ESTRATEGÍAS DE MARKETING DIGITAL Y REDES SOCIALES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2024-03-20 - 2024-04-10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DE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COMPORTAMIENTO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COMPORTAMIENTO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MERCADOTECNIA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PARA ENTORNOS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MERCADOTECNIA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PARA ENTORNOS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ESTRATEGÍAS DE MARKETING DIGITAL Y REDES SOCIALES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2024-03-30 - 2024-03-30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