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PASILLAS, RUBEN DARIO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12087633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FRACC. PORTA REAL ARCO DE ANCONA 115, JESUS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LOPR950419DM0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LOPR950419HASPSB14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PASILLAS, RUBEN DARIO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EN CARDIOPULMONAR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 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