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ALFARO, JUAN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certificado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RIVAS CUELLAR #104 BENITO PALOMINO DENA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JIAJ860219E52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JIAJ860219HASMLN01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ALFARO, JUAN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PUBLICIDAD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COMPORTAMIENTO, DESARROLLO Y CAMBIO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$479.00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COMPORTAMIENTO, DESARROLLO Y CAMBIO ORGANIZACIONAL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$479.00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