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III - AUTORIDADES FISCALES SUS RELACIONES Y FACULTADES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III - AUTORIDADES FISCALES SUS RELACIONES Y FACULTADES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2024-09-13 - 2024-10-05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