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GONZALEZ RODRIGUEZ, RAYMUNDO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MINERAL DE COLOTLAN 114, PASO DE ARGENTA,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GORR7105269V9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GORR710526HJCNDY06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Junio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GONZALEZ RODRIGUEZ, RAYMUNDO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FISCAL Y ADMINISTRATIVO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MEDIOS DE DEFENSA EN MATERIA FISCAL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$403.00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2024-04-26 - 2024-05-18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FISCAL Y ADMINISTRATIVO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MEDIOS DE DEFENSA EN MATERIA FISCAL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$403.00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2024-04-26 - 2024-05-18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