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CASTAÑEDA, DULCE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10734332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RESERVA SEMENIC NO.311 INT.823,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GOCD8105134S1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GOCD810513MASNSL09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CASTAÑEDA, DULCE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COMPORTAMIENTO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Y COMPORTAMIENTO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DESIGN BUSINESS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DESIGN BUSINESS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PARA NUTRIÓLOGOS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