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GUZMAN, LUIS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12867565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PRADO 376. FRACCIONAMIENTO Q.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GOGL921112QY9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GOGL921112HASMZS02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GUZMAN, LUIS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2024-01-15 - 2024-01-15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RESOLUCIÓN DE COMPLICACIONES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