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MENSUAL,SEMESTRAL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1680027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2024-03-04 - 2024-03-04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2024-03-18 - 2024-03-18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2024-03-25 - 2024-03-25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2024-04-01 - 2024-04-01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DIP2024-31 HERRAMIENTAS DE EXCEL BÁSICAS E INTERMEDIAS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 E INTERMEDIAS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2024-06-04 - 2024-07-09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2024-03-05 - 2024-03-05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DIP2024-21 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DE EXCEL BÁSICAS-INTERMEDIAS Y AVANZADAS PARA DOCENTES Y PERSONAL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