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HERNANDEZ, LUIS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13351431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PABELLON DE ARTEAGA 305, SAN JOSE DE ARENAL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GAHL980122RR0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GAHL980122HASRRS07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HERNANDEZ, LUIS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CITOLOGÍA E 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