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FLORES GALLO YOLANDA DEL CAERMEN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 DE CICLO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MEXICANO</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CTO. AUSTRALIS 109 COND. LA AURORA</w:t>
      </w:r>
      <w:r w:rsidR="003F6EA4">
        <w:rPr>
          <w:rFonts w:ascii="Century Gothic" w:hAnsi="Century Gothic"/>
          <w:b/>
          <w:color w:val="1F497D" w:themeColor="text2"/>
          <w:sz w:val="22"/>
          <w:szCs w:val="22"/>
        </w:rPr>
        <w:t xml:space="preserve"> AGUASCALINETES</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20326</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FOGY920124MASLLL03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FOGY920124E58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 DE CICLO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23 DE FEBRERO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23 DE MARZO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 DE CICLO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23 DE FEBRERO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FLORES GALLO YOLANDA DEL CAERMEN.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