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AGUADO,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11661824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CULTURA MAYA 203·14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FIAA960720TQ0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FIAA960720HASGGL06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AGUADO,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COMUNICACIONES Y CONTROL DE INCENDIOS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2024-01-22 - 2024-03-04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