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BRECEDA, MARIA DEL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1538765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LLANURA 111 INT 5,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DIBC800323N4A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DIBC800323MDFZRR17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BRECEDA, MARIA DEL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2024-01-19 - 2024-02-10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