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DAVILA PEÑA,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13005173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267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DAPA900910B26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DAPA900910MASVXN00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DAVILA PEÑA,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CONTRA LEYES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JURÍDICA E INTERPRETACIÓN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CONTRA LEYES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JURÍDICA E INTERPRETACIÓN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2023-11-17 - 2023-12-02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