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GAMA, AMAAR ALESSANDRA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12596531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 BUENA #100 INT. 121 COL. VILLA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CUGA9808296M6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CUGA980829MTLLMM01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GAMA, AMAAR ALESSANDRA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Y SUTENTABLE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DEL CONSUMIDOS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Y SUTENTABLE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