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CUELLAR CASILLAS, AARON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ESCUELA DE NEGOCIOS Y DERECHO,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Maestría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10501143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CIRCUITO EL HUAMUCHIL #123 RES. DEL PARQUE,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MEXICANO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CUCA830302QQ6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CUCA830302HSPLSR03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19 de Abril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30  de  Enero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CUELLAR CASILLAS, AARON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ROMANO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PÚBLICO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12:00:00 - 14:00:00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16:00:00 - 18:00:00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FORENSE MERCANTIL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TEORÍA GENERAL DEL PROCESO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2025-01-24 - 2025-04-16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COMERCIO Y NEGOCIOS INTERNACIONALES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PRINCIPIOS DE DERECHO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INTERNACIONAL PRIVADO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18:00:00 - 20:00:00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$203.50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2025-01-13 - 2025-04-16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EN CONTADOR PUBLICO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DERECHO DEL TRABAJO 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Sabado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$235.40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Cuatrimestral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2025-03-08 - 2025-04-12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