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ZAVALA, ANA VICTORIA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 LA HACIENDA 214, CASA BLANCA CP.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CUZA9811032R9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CUZA981103MASRVN04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ZAVALA, ANA VICTORIA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DIP2023-49 DIPLOMADO EN PSICONUTRICIÓN Y EQUILIBRI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NEUROTRANSMISORES, EMOCIONES Y PSICOPATOLOGÍA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