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CANO ALVAREZ, OSCAR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5661785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ENRIQUE ESTRADA 206, GREMIAL CP 20030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CAAO8010225N9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CAAO801022HDFNLS04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CANO ALVAREZ, OSCAR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EMPRENDIMIENTO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EMPRENDIMIENTO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