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ALVAREZ, OSCAR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ENRIQUE ESTRADA 206, GREMIAL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CAAO8010225N9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CAAO801022HDFNLS04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ALVAREZ, OSCAR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2024-07-11 - 2024-07-25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2024-07-11 - 2024-07-25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2024-07-11 - 2024-07-25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