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DIGITAL WORKSHOP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DIGITAL WORKSHOP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DIP2024-06 DIRECCIÓN E INTELIGENCIA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IMPACTO VISUAL PARA LA CREACIÓN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ADENTRATE EN EL BRANDING PERSONAL, PROPÓSITO , PROMESA DE MARCA, ATRIBUTOS Y POSICIONAMIENTO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2024-02-03 - 2024-02-03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CONSTYRUYENDO LA IMAGEN DE TU MARCA PERSONAL: CONCEPTOS, EMOCIONES Y ASOCIACIONES EN TU IMAGEN DE MARCA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Y LA ETIQUETA EMPRESARIAL: BRINDAR CARACTERISTICAS Y BENEFICIOS REALES CREÍBLES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TÚ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LAS RELACIONES PÚBLICAS Y EL IMPACTO SOCIAL RELACIONADO A TU FUERZA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NEGOCIACIÓN, EL LIDERAZGO Y LA EMPATÍA: CONOCERÁS LA DIVERSIDAD DE CANALES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2024-03-30 - 2024-03-30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DIP2024-04 DIPLOMADO EN BRANDING DE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 BRANDING PERSONAL EN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