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EDUARDO CONTRERAS BARBA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BUSTOS ARANGO, LUIS MANUEL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CAMPOS DE PINO 108 RESIDENCIAL LOS OLIVOS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BUAL500314QF4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BUAL500314HMNSRS09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22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24 de Mayo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Febrero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EDUARDO CONTRERAS BARBA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BUSTOS ARANGO, LUIS MANUEL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2024-01-22 - 2024-06-01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PATOLOGÍA GENERAL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6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$185.00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2024-01-08 - 2024-01-12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