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BIZUETO MONROY, JOSE LUIS.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BIZUETO MONROY, JOSE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1987-01-09</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BIML870109HDFZNS08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BIML8701092S0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CONGOJA 210,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4125@ucuauhtemoc.edu.mx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FARMACOLOGÍA EN NUTRICIÓN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