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BEJARANO GONZALEZ,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TRIANGULAR 106 SAN JOSE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BEGM840608A71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BEGM840608HASJNR05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BEJARANO GONZALEZ,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Y AUTOMATIZACIÓN DE PROCESOS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Y ESTRATEGIA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