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DIP2025-04 PERSONAL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2025-04-04 - 2025-05-02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